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opLinePunct w:val="1"/>
        <w:autoSpaceDE w:val="0"/>
        <w:autoSpaceDN w:val="0"/>
        <w:ind w:left="0" w:leftChars="0" w:right="86" w:rightChars="41" w:hanging="240" w:hangingChars="100"/>
        <w:jc w:val="center"/>
        <w:rPr>
          <w:rFonts w:hint="eastAsia" w:ascii="ＭＳ 明朝" w:hAnsi="ＭＳ 明朝" w:eastAsia="ＭＳ 明朝"/>
          <w:color w:val="auto"/>
          <w:sz w:val="24"/>
        </w:rPr>
      </w:pPr>
      <w:bookmarkStart w:id="0" w:name="C0_2"/>
      <w:bookmarkEnd w:id="0"/>
      <w:r>
        <w:rPr>
          <w:rFonts w:hint="eastAsia"/>
        </w:rPr>
        <mc:AlternateContent>
          <mc:Choice Requires="wps">
            <w:drawing>
              <wp:anchor distT="0" distB="0" distL="203200" distR="203200" simplePos="0" relativeHeight="2" behindDoc="0" locked="0" layoutInCell="1" hidden="0" allowOverlap="1">
                <wp:simplePos x="0" y="0"/>
                <wp:positionH relativeFrom="column">
                  <wp:posOffset>2688590</wp:posOffset>
                </wp:positionH>
                <wp:positionV relativeFrom="paragraph">
                  <wp:posOffset>-261620</wp:posOffset>
                </wp:positionV>
                <wp:extent cx="765810" cy="54991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765810" cy="549910"/>
                        </a:xfrm>
                        <a:prstGeom prst="rect">
                          <a:avLst/>
                        </a:prstGeom>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eastAsia"/>
                                <w:color w:val="auto"/>
                              </w:rPr>
                            </w:pPr>
                            <w:r>
                              <w:rPr>
                                <w:rFonts w:hint="eastAsia" w:ascii="AR Pゴシック体S" w:hAnsi="AR Pゴシック体S" w:eastAsia="AR Pゴシック体S"/>
                                <w:color w:val="auto"/>
                                <w:sz w:val="32"/>
                              </w:rPr>
                              <w:t>（表）</w:t>
                            </w:r>
                          </w:p>
                        </w:txbxContent>
                      </wps:txbx>
                      <wps:bodyPr vertOverflow="overflow" horzOverflow="overflow" wrap="square" anchor="ctr"/>
                    </wps:wsp>
                  </a:graphicData>
                </a:graphic>
              </wp:anchor>
            </w:drawing>
          </mc:Choice>
          <mc:Fallback>
            <w:pict>
              <v:rect id="オブジェクト 0" style="mso-wrap-distance-right:16pt;mso-wrap-distance-bottom:0pt;margin-top:-20.6pt;mso-position-vertical-relative:text;mso-position-horizontal-relative:text;v-text-anchor:middle;position:absolute;height:43.3pt;mso-wrap-distance-top:0pt;width:60.3pt;mso-wrap-distance-left:16pt;margin-left:211.7pt;z-index:2;" o:spid="_x0000_s1026" o:allowincell="t" o:allowoverlap="t" filled="t" fillcolor="#ffffff [3201]" stroked="f" strokecolor="#5b9bd5 [3204]" strokeweight="1pt" o:spt="1">
                <v:fill/>
                <v:stroke linestyle="single" miterlimit="8" endcap="flat" dashstyle="solid"/>
                <v:textbox style="layout-flow:horizontal;">
                  <w:txbxContent>
                    <w:p>
                      <w:pPr>
                        <w:pStyle w:val="0"/>
                        <w:jc w:val="center"/>
                        <w:rPr>
                          <w:rFonts w:hint="eastAsia"/>
                          <w:color w:val="auto"/>
                        </w:rPr>
                      </w:pPr>
                      <w:r>
                        <w:rPr>
                          <w:rFonts w:hint="eastAsia" w:ascii="AR Pゴシック体S" w:hAnsi="AR Pゴシック体S" w:eastAsia="AR Pゴシック体S"/>
                          <w:color w:val="auto"/>
                          <w:sz w:val="32"/>
                        </w:rPr>
                        <w:t>（表）</w:t>
                      </w:r>
                    </w:p>
                  </w:txbxContent>
                </v:textbox>
                <v:imagedata o:title=""/>
                <w10:wrap type="none" anchorx="text" anchory="text"/>
              </v:rect>
            </w:pict>
          </mc:Fallback>
        </mc:AlternateContent>
      </w:r>
    </w:p>
    <w:p>
      <w:pPr>
        <w:pStyle w:val="0"/>
        <w:topLinePunct w:val="1"/>
        <w:autoSpaceDE w:val="0"/>
        <w:autoSpaceDN w:val="0"/>
        <w:jc w:val="right"/>
        <w:rPr>
          <w:rFonts w:hint="eastAsia" w:ascii="ＭＳ 明朝" w:hAnsi="ＭＳ 明朝" w:eastAsia="ＭＳ 明朝"/>
          <w:color w:val="auto"/>
          <w:sz w:val="24"/>
        </w:rPr>
      </w:pPr>
      <w:r>
        <w:rPr>
          <w:rFonts w:hint="eastAsia" w:ascii="ＭＳ 明朝" w:hAnsi="ＭＳ 明朝" w:eastAsia="ＭＳ 明朝"/>
          <w:color w:val="auto"/>
          <w:sz w:val="24"/>
        </w:rPr>
        <w:t>（定型様式）</w:t>
      </w:r>
    </w:p>
    <w:p>
      <w:pPr>
        <w:pStyle w:val="0"/>
        <w:topLinePunct w:val="1"/>
        <w:autoSpaceDE w:val="0"/>
        <w:autoSpaceDN w:val="0"/>
        <w:jc w:val="center"/>
        <w:rPr>
          <w:rFonts w:hint="eastAsia" w:ascii="ＭＳ 明朝" w:hAnsi="ＭＳ 明朝" w:eastAsia="ＭＳ 明朝"/>
          <w:color w:val="auto"/>
          <w:sz w:val="36"/>
        </w:rPr>
      </w:pPr>
      <w:r>
        <w:rPr>
          <w:rFonts w:hint="eastAsia" w:ascii="ＭＳ 明朝" w:hAnsi="ＭＳ 明朝" w:eastAsia="ＭＳ 明朝"/>
          <w:color w:val="auto"/>
          <w:sz w:val="32"/>
        </w:rPr>
        <w:t>誓　　約　　書</w:t>
      </w:r>
    </w:p>
    <w:p>
      <w:pPr>
        <w:pStyle w:val="0"/>
        <w:topLinePunct w:val="1"/>
        <w:autoSpaceDE w:val="0"/>
        <w:autoSpaceDN w:val="0"/>
        <w:jc w:val="center"/>
        <w:rPr>
          <w:rFonts w:hint="eastAsia" w:ascii="ＭＳ 明朝" w:hAnsi="ＭＳ 明朝" w:eastAsia="ＭＳ 明朝"/>
          <w:color w:val="auto"/>
          <w:sz w:val="24"/>
        </w:rPr>
      </w:pPr>
    </w:p>
    <w:p>
      <w:pPr>
        <w:pStyle w:val="0"/>
        <w:topLinePunct w:val="1"/>
        <w:autoSpaceDE w:val="0"/>
        <w:autoSpaceDN w:val="0"/>
        <w:spacing w:line="0" w:lineRule="atLeast"/>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下記１に基づく業務の履行に際し、下記２の事項を誓約します。</w:t>
      </w:r>
    </w:p>
    <w:p>
      <w:pPr>
        <w:pStyle w:val="0"/>
        <w:topLinePunct w:val="1"/>
        <w:autoSpaceDE w:val="0"/>
        <w:autoSpaceDN w:val="0"/>
        <w:spacing w:line="0" w:lineRule="atLeast"/>
        <w:ind w:leftChars="0" w:firstLine="209" w:firstLineChars="87"/>
        <w:rPr>
          <w:rFonts w:hint="eastAsia" w:ascii="ＭＳ 明朝" w:hAnsi="ＭＳ 明朝" w:eastAsia="ＭＳ 明朝"/>
          <w:color w:val="auto"/>
          <w:sz w:val="28"/>
        </w:rPr>
      </w:pPr>
      <w:r>
        <w:rPr>
          <w:rFonts w:hint="eastAsia" w:ascii="ＭＳ 明朝" w:hAnsi="ＭＳ 明朝" w:eastAsia="ＭＳ 明朝"/>
          <w:color w:val="auto"/>
          <w:sz w:val="24"/>
        </w:rPr>
        <w:t>この誓約に反したことにより入札参加停止等の処分を受けても異議は一切申し立てません。</w:t>
      </w: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１　契約名</w:t>
      </w:r>
    </w:p>
    <w:p>
      <w:pPr>
        <w:pStyle w:val="0"/>
        <w:topLinePunct w:val="1"/>
        <w:autoSpaceDE w:val="0"/>
        <w:autoSpaceDN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〇〇〇〇契約　　　　　　　（当初契約日　　年　　月　　日）</w:t>
      </w: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２　誓約事項</w:t>
      </w: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（１）本契約に基づく業務の履行に際し、別表に掲げる法律その他の労働環境の整備等に関する法令を遵守すること。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（２）本契約に基づく業務の履行に際し、別表に掲げる法律に違反し、所管行政庁の処分を受けたときは、処分の内容及び対応方針を速やかに</w:t>
      </w:r>
      <w:r>
        <w:rPr>
          <w:rFonts w:hint="eastAsia" w:ascii="ＭＳ 明朝" w:hAnsi="ＭＳ 明朝" w:eastAsia="ＭＳ 明朝"/>
          <w:strike w:val="0"/>
          <w:dstrike w:val="0"/>
          <w:color w:val="auto"/>
          <w:sz w:val="24"/>
        </w:rPr>
        <w:t>県</w:t>
      </w:r>
      <w:r>
        <w:rPr>
          <w:rFonts w:hint="eastAsia" w:ascii="ＭＳ 明朝" w:hAnsi="ＭＳ 明朝" w:eastAsia="ＭＳ 明朝"/>
          <w:color w:val="auto"/>
          <w:sz w:val="24"/>
        </w:rPr>
        <w:t>に報告し、是正のために必要な措置を講ずること。また、所管行政庁に是正の報告を行ったときは、その内容を速やかに県に報告すること。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（３）本契約に基づく業務の履行に際し、</w:t>
      </w:r>
      <w:r>
        <w:rPr>
          <w:rFonts w:hint="eastAsia" w:ascii="ＭＳ 明朝" w:hAnsi="ＭＳ 明朝" w:eastAsia="ＭＳ 明朝"/>
          <w:strike w:val="0"/>
          <w:dstrike w:val="0"/>
          <w:color w:val="auto"/>
          <w:sz w:val="24"/>
        </w:rPr>
        <w:t>下請</w:t>
      </w:r>
      <w:r>
        <w:rPr>
          <w:rFonts w:hint="eastAsia" w:ascii="ＭＳ 明朝" w:hAnsi="ＭＳ 明朝" w:eastAsia="ＭＳ 明朝"/>
          <w:color w:val="auto"/>
          <w:sz w:val="24"/>
        </w:rPr>
        <w:t>契約（再委託契約及び労働者派遣契約を含む。以下同じ。）を締結するときは、適正な見積りを基に、対等な立場における合意に基づいた公正な契約を締結するよう努めるとともに、次の事項に留意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ア　下請負者から誓約書を提出させ、その写しを県に提出すること。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イ　下請負者が、本契約に基づく業務の履行に際し別表に掲げる法律に違反し、所管行政庁の処分を受けたときは、（２）の例により、それらの内容を速やかに報告させるとともに、その内容を県に報告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ウ　下請負者がさらに第三者と下請契約を締結したときは、当該下請負者を通じて、ア及びイと同様に、当該第三者からの誓約書の写しの提出等を行うこと。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p>
    <w:p>
      <w:pPr>
        <w:pStyle w:val="0"/>
        <w:topLinePunct w:val="1"/>
        <w:autoSpaceDE w:val="0"/>
        <w:autoSpaceDN w:val="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topLinePunct w:val="1"/>
        <w:autoSpaceDE w:val="0"/>
        <w:autoSpaceDN w:val="0"/>
        <w:jc w:val="right"/>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静岡県知事（かい長）　様</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（静岡県公営企業管理者（所長）様）</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（がんセンター局長　様）</w:t>
      </w:r>
    </w:p>
    <w:p>
      <w:pPr>
        <w:pStyle w:val="0"/>
        <w:topLinePunct w:val="1"/>
        <w:autoSpaceDE w:val="0"/>
        <w:autoSpaceDN w:val="0"/>
        <w:ind w:firstLine="1200" w:firstLineChars="500"/>
        <w:rPr>
          <w:rFonts w:hint="eastAsia" w:ascii="ＭＳ 明朝" w:hAnsi="ＭＳ 明朝" w:eastAsia="ＭＳ 明朝"/>
          <w:color w:val="auto"/>
          <w:sz w:val="24"/>
        </w:rPr>
      </w:pPr>
      <w:r>
        <w:rPr>
          <w:rFonts w:hint="eastAsia" w:ascii="ＭＳ 明朝" w:hAnsi="ＭＳ 明朝" w:eastAsia="ＭＳ 明朝"/>
          <w:color w:val="auto"/>
          <w:spacing w:val="20"/>
          <w:kern w:val="0"/>
          <w:sz w:val="24"/>
          <w:fitText w:val="1920" w:id="1"/>
        </w:rPr>
        <w:t>所在地又は住</w:t>
      </w:r>
      <w:r>
        <w:rPr>
          <w:rFonts w:hint="eastAsia" w:ascii="ＭＳ 明朝" w:hAnsi="ＭＳ 明朝" w:eastAsia="ＭＳ 明朝"/>
          <w:color w:val="auto"/>
          <w:kern w:val="0"/>
          <w:sz w:val="24"/>
          <w:fitText w:val="1920" w:id="1"/>
        </w:rPr>
        <w:t>所</w:t>
      </w:r>
      <w:r>
        <w:rPr>
          <w:rFonts w:hint="eastAsia" w:ascii="ＭＳ 明朝" w:hAnsi="ＭＳ 明朝" w:eastAsia="ＭＳ 明朝"/>
          <w:color w:val="auto"/>
          <w:sz w:val="24"/>
        </w:rPr>
        <w:t>　</w:t>
      </w:r>
    </w:p>
    <w:p>
      <w:pPr>
        <w:pStyle w:val="0"/>
        <w:topLinePunct w:val="1"/>
        <w:autoSpaceDE w:val="0"/>
        <w:autoSpaceDN w:val="0"/>
        <w:ind w:firstLine="960" w:firstLineChars="400"/>
        <w:rPr>
          <w:rFonts w:hint="eastAsia" w:ascii="ＭＳ 明朝" w:hAnsi="ＭＳ 明朝" w:eastAsia="ＭＳ 明朝"/>
          <w:color w:val="auto"/>
          <w:sz w:val="24"/>
        </w:rPr>
      </w:pPr>
      <w:r>
        <w:rPr>
          <w:rFonts w:hint="eastAsia" w:ascii="ＭＳ 明朝" w:hAnsi="ＭＳ 明朝" w:eastAsia="ＭＳ 明朝"/>
          <w:color w:val="auto"/>
          <w:spacing w:val="60"/>
          <w:kern w:val="0"/>
          <w:sz w:val="24"/>
          <w:fitText w:val="1920" w:id="2"/>
        </w:rPr>
        <w:t>商号</w:t>
      </w:r>
      <w:r>
        <w:rPr>
          <w:rFonts w:hint="eastAsia" w:ascii="ＭＳ 明朝" w:hAnsi="ＭＳ 明朝" w:eastAsia="ＭＳ 明朝"/>
          <w:color w:val="auto"/>
          <w:spacing w:val="60"/>
          <w:w w:val="88"/>
          <w:kern w:val="0"/>
          <w:sz w:val="24"/>
          <w:fitText w:val="1920" w:id="2"/>
        </w:rPr>
        <w:t>又は名</w:t>
      </w:r>
      <w:r>
        <w:rPr>
          <w:rFonts w:hint="eastAsia" w:ascii="ＭＳ 明朝" w:hAnsi="ＭＳ 明朝" w:eastAsia="ＭＳ 明朝"/>
          <w:color w:val="auto"/>
          <w:spacing w:val="2"/>
          <w:w w:val="88"/>
          <w:kern w:val="0"/>
          <w:sz w:val="24"/>
          <w:fitText w:val="1920" w:id="2"/>
        </w:rPr>
        <w:t>称</w:t>
      </w:r>
    </w:p>
    <w:p>
      <w:pPr>
        <w:pStyle w:val="0"/>
        <w:topLinePunct w:val="1"/>
        <w:autoSpaceDE w:val="0"/>
        <w:autoSpaceDN w:val="0"/>
        <w:ind w:firstLine="960" w:firstLineChars="400"/>
        <w:rPr>
          <w:rFonts w:hint="eastAsia" w:ascii="ＭＳ 明朝" w:hAnsi="ＭＳ 明朝" w:eastAsia="ＭＳ 明朝"/>
          <w:color w:val="auto"/>
          <w:sz w:val="24"/>
        </w:rPr>
      </w:pPr>
    </w:p>
    <w:p>
      <w:pPr>
        <w:pStyle w:val="0"/>
        <w:topLinePunct w:val="1"/>
        <w:autoSpaceDE w:val="0"/>
        <w:autoSpaceDN w:val="0"/>
        <w:ind w:firstLine="1440" w:firstLineChars="600"/>
        <w:rPr>
          <w:rFonts w:hint="eastAsia" w:ascii="Arial" w:hAnsi="Arial"/>
          <w:color w:val="auto"/>
          <w:sz w:val="24"/>
        </w:rPr>
      </w:pPr>
      <w:r>
        <w:rPr>
          <w:rFonts w:hint="eastAsia" w:ascii="ＭＳ 明朝" w:hAnsi="ＭＳ 明朝" w:eastAsia="ＭＳ 明朝"/>
          <w:color w:val="auto"/>
          <w:sz w:val="24"/>
        </w:rPr>
        <w:t>代表者の職・氏名　　　　　　　　　　　　　　　　　　　</w:t>
      </w:r>
      <w:r>
        <w:rPr>
          <w:rFonts w:hint="eastAsia" w:ascii="ＭＳ 明朝" w:hAnsi="ＭＳ 明朝" w:eastAsia="ＭＳ 明朝"/>
          <w:color w:val="auto"/>
          <w:bdr w:val="single" w:color="auto" w:sz="4" w:space="0"/>
        </w:rPr>
        <w:t>印</w:t>
      </w: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eastAsia" w:ascii="ＭＳ 明朝" w:hAnsi="ＭＳ 明朝"/>
          <w:color w:val="auto"/>
          <w:sz w:val="24"/>
        </w:rPr>
      </w:pP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2688590</wp:posOffset>
                </wp:positionH>
                <wp:positionV relativeFrom="paragraph">
                  <wp:posOffset>-477520</wp:posOffset>
                </wp:positionV>
                <wp:extent cx="765810" cy="431800"/>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765810" cy="431800"/>
                        </a:xfrm>
                        <a:prstGeom prst="rect">
                          <a:avLst/>
                        </a:prstGeom>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eastAsia"/>
                                <w:color w:val="auto"/>
                              </w:rPr>
                            </w:pPr>
                            <w:r>
                              <w:rPr>
                                <w:rFonts w:hint="eastAsia" w:ascii="AR Pゴシック体S" w:hAnsi="AR Pゴシック体S" w:eastAsia="AR Pゴシック体S"/>
                                <w:color w:val="auto"/>
                                <w:sz w:val="32"/>
                              </w:rPr>
                              <w:t>（裏）</w:t>
                            </w:r>
                          </w:p>
                        </w:txbxContent>
                      </wps:txbx>
                      <wps:bodyPr vertOverflow="overflow" horzOverflow="overflow" anchor="ctr"/>
                    </wps:wsp>
                  </a:graphicData>
                </a:graphic>
              </wp:anchor>
            </w:drawing>
          </mc:Choice>
          <mc:Fallback>
            <w:pict>
              <v:rect id="オブジェクト 0" style="mso-wrap-distance-right:16pt;mso-wrap-distance-bottom:0pt;margin-top:-37.6pt;mso-position-vertical-relative:text;mso-position-horizontal-relative:text;v-text-anchor:middle;position:absolute;height:34pt;mso-wrap-distance-top:0pt;width:60.3pt;mso-wrap-distance-left:16pt;margin-left:211.7pt;z-index:3;" o:spid="_x0000_s1027" o:allowincell="t" o:allowoverlap="t" filled="t" fillcolor="#ffffff [3201]" stroked="f" strokecolor="#5b9bd5 [3204]" strokeweight="1pt" o:spt="1">
                <v:fill/>
                <v:stroke linestyle="single" miterlimit="8" endcap="flat" dashstyle="solid"/>
                <v:textbox style="layout-flow:horizontal;">
                  <w:txbxContent>
                    <w:p>
                      <w:pPr>
                        <w:pStyle w:val="0"/>
                        <w:jc w:val="center"/>
                        <w:rPr>
                          <w:rFonts w:hint="eastAsia"/>
                          <w:color w:val="auto"/>
                        </w:rPr>
                      </w:pPr>
                      <w:r>
                        <w:rPr>
                          <w:rFonts w:hint="eastAsia" w:ascii="AR Pゴシック体S" w:hAnsi="AR Pゴシック体S" w:eastAsia="AR Pゴシック体S"/>
                          <w:color w:val="auto"/>
                          <w:sz w:val="32"/>
                        </w:rPr>
                        <w:t>（裏）</w:t>
                      </w:r>
                    </w:p>
                  </w:txbxContent>
                </v:textbox>
                <v:imagedata o:title=""/>
                <w10:wrap type="none" anchorx="text" anchory="text"/>
              </v:rect>
            </w:pict>
          </mc:Fallback>
        </mc:AlternateContent>
      </w:r>
      <w:r>
        <w:rPr>
          <w:rFonts w:hint="eastAsia" w:ascii="ＭＳ Ｐゴシック" w:hAnsi="ＭＳ Ｐゴシック" w:eastAsia="ＭＳ Ｐゴシック"/>
          <w:color w:val="auto"/>
          <w:sz w:val="24"/>
        </w:rPr>
        <w:t>別表　労働関係及び公正な取引に関する主な法律</w:t>
      </w:r>
    </w:p>
    <w:tbl>
      <w:tblPr>
        <w:tblStyle w:val="11"/>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075"/>
      </w:tblGrid>
      <w:tr>
        <w:trPr/>
        <w:tc>
          <w:tcPr>
            <w:tcW w:w="100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topLinePunct w:val="1"/>
              <w:autoSpaceDE w:val="0"/>
              <w:autoSpaceDN w:val="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１　労働関係</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労働基準法（昭和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労働契約法（平成</w:t>
            </w:r>
            <w:r>
              <w:rPr>
                <w:rFonts w:hint="eastAsia" w:ascii="ＭＳ Ｐゴシック" w:hAnsi="ＭＳ Ｐゴシック" w:eastAsia="ＭＳ Ｐゴシック"/>
                <w:color w:val="auto"/>
                <w:kern w:val="0"/>
                <w:sz w:val="24"/>
              </w:rPr>
              <w:t>19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128</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最低賃金法（昭和</w:t>
            </w:r>
            <w:r>
              <w:rPr>
                <w:rFonts w:hint="eastAsia" w:ascii="ＭＳ Ｐゴシック" w:hAnsi="ＭＳ Ｐゴシック" w:eastAsia="ＭＳ Ｐゴシック"/>
                <w:color w:val="auto"/>
                <w:kern w:val="0"/>
                <w:sz w:val="24"/>
              </w:rPr>
              <w:t>34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137</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労働安全衛生法（昭和</w:t>
            </w:r>
            <w:r>
              <w:rPr>
                <w:rFonts w:hint="eastAsia" w:ascii="ＭＳ Ｐゴシック" w:hAnsi="ＭＳ Ｐゴシック" w:eastAsia="ＭＳ Ｐゴシック"/>
                <w:color w:val="auto"/>
                <w:kern w:val="0"/>
                <w:sz w:val="24"/>
              </w:rPr>
              <w:t>47</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57</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労働者災害補償保険法（昭和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　法律</w:t>
            </w:r>
            <w:r>
              <w:rPr>
                <w:rFonts w:hint="eastAsia" w:ascii="ＭＳ Ｐゴシック" w:hAnsi="ＭＳ Ｐゴシック" w:eastAsia="ＭＳ Ｐゴシック"/>
                <w:color w:val="auto"/>
                <w:kern w:val="0"/>
                <w:sz w:val="24"/>
              </w:rPr>
              <w:t>50</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雇用保険法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116</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健康保険法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大正</w:t>
            </w:r>
            <w:r>
              <w:rPr>
                <w:rFonts w:hint="eastAsia" w:ascii="ＭＳ Ｐゴシック" w:hAnsi="ＭＳ Ｐゴシック" w:eastAsia="ＭＳ Ｐゴシック"/>
                <w:color w:val="auto"/>
                <w:kern w:val="0"/>
                <w:sz w:val="24"/>
              </w:rPr>
              <w:t>11</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70</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厚生年金保険法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29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115</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労働組合法（昭和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174</w:t>
            </w:r>
            <w:r>
              <w:rPr>
                <w:rFonts w:hint="eastAsia" w:ascii="ＭＳ Ｐゴシック" w:hAnsi="ＭＳ Ｐゴシック" w:eastAsia="ＭＳ Ｐゴシック"/>
                <w:color w:val="auto"/>
                <w:kern w:val="0"/>
                <w:sz w:val="24"/>
              </w:rPr>
              <w:t>号）</w:t>
            </w: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　公正な取引等</w:t>
            </w:r>
          </w:p>
          <w:p>
            <w:pPr>
              <w:pStyle w:val="0"/>
              <w:widowControl w:val="0"/>
              <w:numPr>
                <w:ilvl w:val="0"/>
                <w:numId w:val="2"/>
              </w:numPr>
              <w:topLinePunct w:val="1"/>
              <w:autoSpaceDE w:val="0"/>
              <w:autoSpaceDN w:val="0"/>
              <w:ind w:leftChars="0" w:firstLineChars="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私的独占の禁止及び公正取引の確保に関する法律（昭和</w:t>
            </w:r>
            <w:r>
              <w:rPr>
                <w:rFonts w:hint="eastAsia" w:ascii="ＭＳ Ｐゴシック" w:hAnsi="ＭＳ Ｐゴシック" w:eastAsia="ＭＳ Ｐゴシック"/>
                <w:color w:val="auto"/>
                <w:kern w:val="2"/>
                <w:sz w:val="24"/>
              </w:rPr>
              <w:t>22</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54</w:t>
            </w:r>
            <w:r>
              <w:rPr>
                <w:rFonts w:hint="eastAsia" w:ascii="ＭＳ Ｐゴシック" w:hAnsi="ＭＳ Ｐゴシック" w:eastAsia="ＭＳ Ｐゴシック"/>
                <w:color w:val="auto"/>
                <w:kern w:val="2"/>
                <w:sz w:val="24"/>
              </w:rPr>
              <w:t>号）</w:t>
            </w:r>
          </w:p>
          <w:p>
            <w:pPr>
              <w:pStyle w:val="0"/>
              <w:widowControl w:val="0"/>
              <w:numPr>
                <w:numId w:val="0"/>
              </w:numPr>
              <w:topLinePunct w:val="1"/>
              <w:autoSpaceDE w:val="0"/>
              <w:autoSpaceDN w:val="0"/>
              <w:ind w:leftChars="0" w:firstLineChars="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（２）下請代金支払遅延等防止法（昭和</w:t>
            </w:r>
            <w:r>
              <w:rPr>
                <w:rFonts w:hint="eastAsia" w:ascii="ＭＳ Ｐゴシック" w:hAnsi="ＭＳ Ｐゴシック" w:eastAsia="ＭＳ Ｐゴシック"/>
                <w:color w:val="auto"/>
                <w:kern w:val="2"/>
                <w:sz w:val="24"/>
              </w:rPr>
              <w:t>31</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120</w:t>
            </w:r>
            <w:r>
              <w:rPr>
                <w:rFonts w:hint="eastAsia" w:ascii="ＭＳ Ｐゴシック" w:hAnsi="ＭＳ Ｐゴシック" w:eastAsia="ＭＳ Ｐゴシック"/>
                <w:color w:val="auto"/>
                <w:kern w:val="2"/>
                <w:sz w:val="24"/>
              </w:rPr>
              <w:t>号）</w:t>
            </w:r>
          </w:p>
          <w:p>
            <w:pPr>
              <w:pStyle w:val="25"/>
              <w:widowControl w:val="1"/>
              <w:numPr>
                <w:numId w:val="0"/>
              </w:numPr>
              <w:topLinePunct w:val="1"/>
              <w:autoSpaceDE w:val="0"/>
              <w:autoSpaceDN w:val="0"/>
              <w:ind w:left="0" w:leftChars="0" w:firstLineChars="0"/>
              <w:jc w:val="left"/>
              <w:rPr>
                <w:rFonts w:hint="default" w:ascii="Arial" w:hAnsi="Arial" w:eastAsia="ＭＳ Ｐゴシック"/>
                <w:color w:val="auto"/>
                <w:kern w:val="2"/>
                <w:sz w:val="24"/>
              </w:rPr>
            </w:pPr>
            <w:r>
              <w:rPr>
                <w:rFonts w:hint="eastAsia" w:ascii="ＭＳ Ｐゴシック" w:hAnsi="ＭＳ Ｐゴシック" w:eastAsia="ＭＳ Ｐゴシック"/>
                <w:color w:val="auto"/>
                <w:kern w:val="0"/>
                <w:sz w:val="24"/>
              </w:rPr>
              <w:t>（３）　建設業法（昭和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100</w:t>
            </w:r>
            <w:r>
              <w:rPr>
                <w:rFonts w:hint="eastAsia" w:ascii="ＭＳ Ｐゴシック" w:hAnsi="ＭＳ Ｐゴシック" w:eastAsia="ＭＳ Ｐゴシック"/>
                <w:color w:val="auto"/>
                <w:kern w:val="0"/>
                <w:sz w:val="24"/>
              </w:rPr>
              <w:t>号）　※建設業の場合</w:t>
            </w:r>
          </w:p>
          <w:p>
            <w:pPr>
              <w:pStyle w:val="0"/>
              <w:rPr>
                <w:rFonts w:hint="default" w:ascii="Arial" w:hAnsi="Arial" w:eastAsia="ＭＳ Ｐゴシック"/>
                <w:color w:val="auto"/>
                <w:kern w:val="2"/>
                <w:sz w:val="24"/>
              </w:rPr>
            </w:pPr>
          </w:p>
        </w:tc>
      </w:tr>
    </w:tbl>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sz w:val="24"/>
        </w:rPr>
      </w:pPr>
      <w:bookmarkStart w:id="1" w:name="_GoBack"/>
      <w:bookmarkEnd w:id="1"/>
    </w:p>
    <w:sectPr>
      <w:pgSz w:w="11906" w:h="16838"/>
      <w:pgMar w:top="1134" w:right="1080" w:bottom="944" w:left="87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A745BF8"/>
    <w:lvl w:ilvl="0" w:tplc="5472FD0E">
      <w:start w:val="1"/>
      <w:numFmt w:val="decimalFullWidth"/>
      <w:lvlText w:val="（%1）"/>
      <w:lvlJc w:val="left"/>
      <w:pPr>
        <w:ind w:left="570" w:hanging="57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nsid w:val="00000002"/>
    <w:multiLevelType w:val="hybridMultilevel"/>
    <w:tmpl w:val="0E5B37EA"/>
    <w:lvl w:ilvl="0" w:tplc="AD1D47ED">
      <w:start w:val="1"/>
      <w:numFmt w:val="none"/>
      <w:lvlText w:val="（１）"/>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customStyle="1">
    <w:name w:val="jou"/>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tLeast"/>
      <w:ind w:leftChars="0" w:rightChars="0" w:hanging="230" w:firstLineChars="0"/>
      <w:contextualSpacing w:val="0"/>
      <w:mirrorIndents w:val="0"/>
      <w:jc w:val="both"/>
      <w:outlineLvl w:val="9"/>
      <w15:collapsed w:val="0"/>
    </w:pPr>
    <w:rPr>
      <w:rFonts w:ascii="Century" w:hAnsi="Century" w:eastAsia="ＭＳ 明朝"/>
      <w:dstrike w:val="0"/>
      <w:color w:val="auto"/>
      <w:spacing w:val="20"/>
      <w:w w:val="100"/>
      <w:sz w:val="21"/>
      <w:highlight w:val="none"/>
      <w:u w:val="none" w:color="auto"/>
      <w:bdr w:val="none" w:color="auto" w:sz="0" w:space="0"/>
      <w:shd w:val="clear" w:color="auto" w:fill="auto"/>
      <w:vertAlign w:val="baseline"/>
      <w:em w:val="none"/>
    </w:rPr>
  </w:style>
  <w:style w:type="paragraph" w:styleId="25">
    <w:name w:val="List Paragraph"/>
    <w:basedOn w:val="0"/>
    <w:next w:val="25"/>
    <w:link w:val="0"/>
    <w:uiPriority w:val="0"/>
    <w:qFormat/>
    <w:pPr>
      <w:ind w:left="400" w:leftChars="400"/>
    </w:p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3291</TotalTime>
  <Pages>4</Pages>
  <Words>48</Words>
  <Characters>1945</Characters>
  <Application>JUST Note</Application>
  <Lines>140</Lines>
  <Paragraphs>75</Paragraphs>
  <CharactersWithSpaces>2063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谷澤　俊光</cp:lastModifiedBy>
  <cp:lastPrinted>2023-08-07T07:25:54Z</cp:lastPrinted>
  <dcterms:modified xsi:type="dcterms:W3CDTF">2023-08-07T07:29:44Z</dcterms:modified>
  <cp:revision>30</cp:revision>
</cp:coreProperties>
</file>