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ind w:left="0" w:leftChars="0" w:right="86" w:rightChars="41" w:hanging="240" w:hangingChars="100"/>
        <w:jc w:val="center"/>
        <w:rPr>
          <w:rFonts w:hint="eastAsia" w:ascii="ＭＳ 明朝" w:hAnsi="ＭＳ 明朝" w:eastAsia="ＭＳ 明朝"/>
          <w:color w:val="auto"/>
          <w:sz w:val="24"/>
        </w:rPr>
      </w:pPr>
      <w:bookmarkStart w:id="0" w:name="C0_2"/>
      <w:bookmarkEnd w:id="0"/>
      <w:r>
        <w:rPr>
          <w:rFonts w:hint="eastAsia"/>
        </w:rPr>
        <mc:AlternateContent>
          <mc:Choice Requires="wps">
            <w:drawing>
              <wp:anchor distT="0" distB="0" distL="203200" distR="203200" simplePos="0" relativeHeight="2" behindDoc="0" locked="0" layoutInCell="1" hidden="0" allowOverlap="1">
                <wp:simplePos x="0" y="0"/>
                <wp:positionH relativeFrom="column">
                  <wp:posOffset>2688590</wp:posOffset>
                </wp:positionH>
                <wp:positionV relativeFrom="paragraph">
                  <wp:posOffset>-261620</wp:posOffset>
                </wp:positionV>
                <wp:extent cx="765810" cy="54991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5810" cy="54991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20.6pt;mso-position-vertical-relative:text;mso-position-horizontal-relative:text;v-text-anchor:middle;position:absolute;height:43.3pt;mso-wrap-distance-top:0pt;width:60.3pt;mso-wrap-distance-left:16pt;margin-left:211.7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（定型様式）</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w:t>
      </w:r>
      <w:bookmarkStart w:id="1" w:name="_GoBack"/>
      <w:bookmarkEnd w:id="1"/>
      <w:r>
        <w:rPr>
          <w:rFonts w:hint="eastAsia" w:ascii="ＭＳ 明朝" w:hAnsi="ＭＳ 明朝" w:eastAsia="ＭＳ 明朝"/>
          <w:color w:val="auto"/>
          <w:sz w:val="24"/>
        </w:rPr>
        <w:t>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2688590</wp:posOffset>
                </wp:positionH>
                <wp:positionV relativeFrom="paragraph">
                  <wp:posOffset>-477520</wp:posOffset>
                </wp:positionV>
                <wp:extent cx="765810"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5810"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（裏）</w:t>
                            </w:r>
                          </w:p>
                        </w:txbxContent>
                      </wps:txbx>
                      <wps:bodyPr vertOverflow="overflow" horzOverflow="overflow" anchor="ctr"/>
                    </wps:wsp>
                  </a:graphicData>
                </a:graphic>
              </wp:anchor>
            </w:drawing>
          </mc:Choice>
          <mc:Fallback>
            <w:pict>
              <v:rect id="オブジェクト 0" style="mso-wrap-distance-right:16pt;mso-wrap-distance-bottom:0pt;margin-top:-37.6pt;mso-position-vertical-relative:text;mso-position-horizontal-relative:text;v-text-anchor:middle;position:absolute;height:34pt;mso-wrap-distance-top:0pt;width:60.3pt;mso-wrap-distance-left:16pt;margin-left:211.7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（裏）</w:t>
                      </w:r>
                    </w:p>
                  </w:txbxContent>
                </v:textbox>
                <v:imagedata o:title=""/>
                <w10:wrap type="none" anchorx="text" anchory="text"/>
              </v:rect>
            </w:pict>
          </mc:Fallback>
        </mc:AlternateContent>
      </w: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sz w:val="24"/>
        </w:rPr>
      </w:pP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3291</TotalTime>
  <Pages>2</Pages>
  <Words>24</Words>
  <Characters>966</Characters>
  <Application>JUST Note</Application>
  <Lines>81</Lines>
  <Paragraphs>38</Paragraphs>
  <CharactersWithSpaces>1022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谷澤　俊光</cp:lastModifiedBy>
  <cp:lastPrinted>2023-08-07T07:25:54Z</cp:lastPrinted>
  <dcterms:modified xsi:type="dcterms:W3CDTF">2023-08-17T06:13:16Z</dcterms:modified>
  <cp:revision>30</cp:revision>
</cp:coreProperties>
</file>